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3CE0F" w14:textId="4FA5AE0A" w:rsidR="00A06E7C" w:rsidRPr="00A06E7C" w:rsidRDefault="00A06E7C" w:rsidP="00A06E7C">
      <w:pPr>
        <w:outlineLvl w:val="0"/>
        <w:rPr>
          <w:rFonts w:ascii="Times New Roman" w:eastAsia="Times New Roman" w:hAnsi="Times New Roman" w:cs="Times New Roman"/>
          <w:b/>
          <w:bCs/>
          <w:color w:val="0D004C"/>
          <w:kern w:val="36"/>
          <w:sz w:val="48"/>
          <w:szCs w:val="48"/>
        </w:rPr>
      </w:pPr>
      <w:r w:rsidRPr="00A06E7C">
        <w:rPr>
          <w:rFonts w:ascii="Times New Roman" w:eastAsia="Times New Roman" w:hAnsi="Times New Roman" w:cs="Times New Roman"/>
          <w:b/>
          <w:bCs/>
          <w:color w:val="0D004C"/>
          <w:kern w:val="36"/>
          <w:sz w:val="48"/>
          <w:szCs w:val="48"/>
        </w:rPr>
        <w:t>Non-English</w:t>
      </w:r>
      <w:r w:rsidR="00515C75">
        <w:rPr>
          <w:rFonts w:ascii="Times New Roman" w:eastAsia="Times New Roman" w:hAnsi="Times New Roman" w:cs="Times New Roman"/>
          <w:b/>
          <w:bCs/>
          <w:color w:val="0D004C"/>
          <w:kern w:val="36"/>
          <w:sz w:val="48"/>
          <w:szCs w:val="48"/>
        </w:rPr>
        <w:t>-</w:t>
      </w:r>
      <w:r w:rsidRPr="00A06E7C">
        <w:rPr>
          <w:rFonts w:ascii="Times New Roman" w:eastAsia="Times New Roman" w:hAnsi="Times New Roman" w:cs="Times New Roman"/>
          <w:b/>
          <w:bCs/>
          <w:color w:val="0D004C"/>
          <w:kern w:val="36"/>
          <w:sz w:val="48"/>
          <w:szCs w:val="48"/>
        </w:rPr>
        <w:t>Speaking Participants</w:t>
      </w:r>
    </w:p>
    <w:p w14:paraId="6A24C819" w14:textId="77777777" w:rsidR="00A06E7C" w:rsidRPr="00A06E7C" w:rsidRDefault="00A06E7C" w:rsidP="00A06E7C">
      <w:p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D004C"/>
          <w:sz w:val="27"/>
          <w:szCs w:val="27"/>
        </w:rPr>
      </w:pPr>
      <w:r w:rsidRPr="00A06E7C">
        <w:rPr>
          <w:rFonts w:ascii="Times New Roman" w:eastAsia="Times New Roman" w:hAnsi="Times New Roman" w:cs="Times New Roman"/>
          <w:b/>
          <w:bCs/>
          <w:color w:val="0D004C"/>
          <w:sz w:val="27"/>
          <w:szCs w:val="27"/>
        </w:rPr>
        <w:t>Overview:</w:t>
      </w:r>
    </w:p>
    <w:p w14:paraId="21D9BB29" w14:textId="5C2C44CC" w:rsidR="00A06E7C" w:rsidRPr="00A06E7C" w:rsidRDefault="00A06E7C" w:rsidP="00A03B82">
      <w:pPr>
        <w:shd w:val="clear" w:color="auto" w:fill="FFFFFF"/>
        <w:spacing w:after="225"/>
        <w:ind w:left="90"/>
        <w:rPr>
          <w:rFonts w:ascii="Verdana" w:eastAsia="Times New Roman" w:hAnsi="Verdana" w:cs="Times New Roman"/>
          <w:color w:val="0D004C"/>
          <w:sz w:val="18"/>
          <w:szCs w:val="18"/>
        </w:rPr>
      </w:pPr>
      <w:r w:rsidRPr="00A06E7C">
        <w:rPr>
          <w:rFonts w:ascii="Verdana" w:eastAsia="Times New Roman" w:hAnsi="Verdana" w:cs="Times New Roman"/>
          <w:color w:val="0D004C"/>
          <w:sz w:val="18"/>
          <w:szCs w:val="18"/>
        </w:rPr>
        <w:t xml:space="preserve">When enrolling non-English speaking research </w:t>
      </w:r>
      <w:r w:rsidR="00CC3B01">
        <w:rPr>
          <w:rFonts w:ascii="Verdana" w:eastAsia="Times New Roman" w:hAnsi="Verdana" w:cs="Times New Roman"/>
          <w:color w:val="0D004C"/>
          <w:sz w:val="18"/>
          <w:szCs w:val="18"/>
        </w:rPr>
        <w:t>participants</w:t>
      </w:r>
      <w:r w:rsidRPr="00A06E7C">
        <w:rPr>
          <w:rFonts w:ascii="Verdana" w:eastAsia="Times New Roman" w:hAnsi="Verdana" w:cs="Times New Roman"/>
          <w:color w:val="0D004C"/>
          <w:sz w:val="18"/>
          <w:szCs w:val="18"/>
        </w:rPr>
        <w:t xml:space="preserve">, </w:t>
      </w:r>
      <w:r w:rsidR="00CC3B01">
        <w:rPr>
          <w:rFonts w:ascii="Verdana" w:eastAsia="Times New Roman" w:hAnsi="Verdana" w:cs="Times New Roman"/>
          <w:color w:val="0D004C"/>
          <w:sz w:val="18"/>
          <w:szCs w:val="18"/>
        </w:rPr>
        <w:t xml:space="preserve">or seeking consent from non-English communicating parents/guardians, </w:t>
      </w:r>
      <w:r w:rsidRPr="00A06E7C">
        <w:rPr>
          <w:rFonts w:ascii="Verdana" w:eastAsia="Times New Roman" w:hAnsi="Verdana" w:cs="Times New Roman"/>
          <w:color w:val="0D004C"/>
          <w:sz w:val="18"/>
          <w:szCs w:val="18"/>
        </w:rPr>
        <w:t>investigators must have a plan to manage communications with the participant during </w:t>
      </w:r>
      <w:r w:rsidRPr="00A06E7C">
        <w:rPr>
          <w:rFonts w:ascii="Verdana" w:eastAsia="Times New Roman" w:hAnsi="Verdana" w:cs="Times New Roman"/>
          <w:b/>
          <w:bCs/>
          <w:i/>
          <w:iCs/>
          <w:color w:val="0D004C"/>
          <w:sz w:val="18"/>
          <w:szCs w:val="18"/>
        </w:rPr>
        <w:t>all phases</w:t>
      </w:r>
      <w:r w:rsidRPr="00A06E7C">
        <w:rPr>
          <w:rFonts w:ascii="Verdana" w:eastAsia="Times New Roman" w:hAnsi="Verdana" w:cs="Times New Roman"/>
          <w:color w:val="0D004C"/>
          <w:sz w:val="18"/>
          <w:szCs w:val="18"/>
        </w:rPr>
        <w:t xml:space="preserve"> of study participation.  This extends beyond recruitment, the consent process and initial enrollment, to include study visits as well as possible unexpected phone calls or follow-up questions. </w:t>
      </w:r>
      <w:r w:rsidR="00CC3B01">
        <w:rPr>
          <w:rFonts w:ascii="Verdana" w:eastAsia="Times New Roman" w:hAnsi="Verdana" w:cs="Times New Roman"/>
          <w:color w:val="0D004C"/>
          <w:sz w:val="18"/>
          <w:szCs w:val="18"/>
        </w:rPr>
        <w:t>It</w:t>
      </w:r>
      <w:r w:rsidRPr="00A06E7C">
        <w:rPr>
          <w:rFonts w:ascii="Verdana" w:eastAsia="Times New Roman" w:hAnsi="Verdana" w:cs="Times New Roman"/>
          <w:color w:val="0D004C"/>
          <w:sz w:val="18"/>
          <w:szCs w:val="18"/>
        </w:rPr>
        <w:t xml:space="preserve"> is the investigator’s responsibility to be fully prepared to communicate with all participants during any phase of the study.</w:t>
      </w:r>
    </w:p>
    <w:p w14:paraId="38EDDE00" w14:textId="77777777" w:rsidR="00A06E7C" w:rsidRPr="00A06E7C" w:rsidRDefault="00A06E7C" w:rsidP="00A06E7C">
      <w:p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D004C"/>
          <w:sz w:val="27"/>
          <w:szCs w:val="27"/>
        </w:rPr>
      </w:pPr>
      <w:r w:rsidRPr="00A06E7C">
        <w:rPr>
          <w:rFonts w:ascii="Times New Roman" w:eastAsia="Times New Roman" w:hAnsi="Times New Roman" w:cs="Times New Roman"/>
          <w:b/>
          <w:bCs/>
          <w:color w:val="0D004C"/>
          <w:sz w:val="27"/>
          <w:szCs w:val="27"/>
        </w:rPr>
        <w:t>Definitions:</w:t>
      </w:r>
    </w:p>
    <w:p w14:paraId="79324FDE" w14:textId="720B2B8A" w:rsidR="005B1AAE" w:rsidRPr="005B1AAE" w:rsidRDefault="00A06E7C" w:rsidP="005B1AAE">
      <w:pPr>
        <w:numPr>
          <w:ilvl w:val="0"/>
          <w:numId w:val="1"/>
        </w:numPr>
        <w:shd w:val="clear" w:color="auto" w:fill="FFFFFF"/>
        <w:rPr>
          <w:rFonts w:ascii="Verdana" w:eastAsia="Times New Roman" w:hAnsi="Verdana" w:cs="Times New Roman"/>
          <w:color w:val="0D004C"/>
          <w:sz w:val="18"/>
          <w:szCs w:val="18"/>
        </w:rPr>
      </w:pPr>
      <w:r w:rsidRPr="00A06E7C">
        <w:rPr>
          <w:rFonts w:ascii="Verdana" w:eastAsia="Times New Roman" w:hAnsi="Verdana" w:cs="Times New Roman"/>
          <w:b/>
          <w:bCs/>
          <w:color w:val="0D004C"/>
          <w:sz w:val="18"/>
          <w:szCs w:val="18"/>
        </w:rPr>
        <w:t>Back translation</w:t>
      </w:r>
      <w:r w:rsidRPr="00A06E7C">
        <w:rPr>
          <w:rFonts w:ascii="Verdana" w:eastAsia="Times New Roman" w:hAnsi="Verdana" w:cs="Times New Roman"/>
          <w:color w:val="0D004C"/>
          <w:sz w:val="18"/>
          <w:szCs w:val="18"/>
        </w:rPr>
        <w:t>: process of translating written materials from one language to another and then, in a separate process, translates the document back into the original language.  This process is performed to evaluate the quality and integrity of the information being translated.</w:t>
      </w:r>
    </w:p>
    <w:p w14:paraId="186A7221" w14:textId="0ABFBFEB" w:rsidR="00A06E7C" w:rsidRPr="00A06E7C" w:rsidRDefault="005B1AAE" w:rsidP="00A06E7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D004C"/>
          <w:sz w:val="18"/>
          <w:szCs w:val="18"/>
        </w:rPr>
      </w:pPr>
      <w:r w:rsidRPr="00A06E7C">
        <w:rPr>
          <w:rFonts w:ascii="Verdana" w:eastAsia="Times New Roman" w:hAnsi="Verdana" w:cs="Times New Roman"/>
          <w:b/>
          <w:bCs/>
          <w:color w:val="0D004C"/>
          <w:sz w:val="18"/>
          <w:szCs w:val="18"/>
        </w:rPr>
        <w:t>Translator</w:t>
      </w:r>
      <w:r w:rsidRPr="00A06E7C">
        <w:rPr>
          <w:rFonts w:ascii="Verdana" w:eastAsia="Times New Roman" w:hAnsi="Verdana" w:cs="Times New Roman"/>
          <w:color w:val="0D004C"/>
          <w:sz w:val="18"/>
          <w:szCs w:val="18"/>
        </w:rPr>
        <w:t>: person who converts written materials from English to another language</w:t>
      </w:r>
      <w:r w:rsidR="00A06E7C" w:rsidRPr="00A06E7C">
        <w:rPr>
          <w:rFonts w:ascii="Verdana" w:eastAsia="Times New Roman" w:hAnsi="Verdana" w:cs="Times New Roman"/>
          <w:color w:val="0D004C"/>
          <w:sz w:val="18"/>
          <w:szCs w:val="18"/>
        </w:rPr>
        <w:br/>
        <w:t> </w:t>
      </w:r>
    </w:p>
    <w:p w14:paraId="46A92472" w14:textId="77777777" w:rsidR="00A06E7C" w:rsidRPr="00A06E7C" w:rsidRDefault="00A06E7C" w:rsidP="00A06E7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D004C"/>
          <w:sz w:val="18"/>
          <w:szCs w:val="18"/>
        </w:rPr>
      </w:pPr>
      <w:r w:rsidRPr="00A06E7C">
        <w:rPr>
          <w:rFonts w:ascii="Verdana" w:eastAsia="Times New Roman" w:hAnsi="Verdana" w:cs="Times New Roman"/>
          <w:b/>
          <w:bCs/>
          <w:color w:val="0D004C"/>
          <w:sz w:val="18"/>
          <w:szCs w:val="18"/>
        </w:rPr>
        <w:t>Certified Translator</w:t>
      </w:r>
      <w:r w:rsidRPr="00A06E7C">
        <w:rPr>
          <w:rFonts w:ascii="Verdana" w:eastAsia="Times New Roman" w:hAnsi="Verdana" w:cs="Times New Roman"/>
          <w:color w:val="0D004C"/>
          <w:sz w:val="18"/>
          <w:szCs w:val="18"/>
        </w:rPr>
        <w:t>: a professional translator who has successfully completed a certification program or exam providing them with certified translator credentials</w:t>
      </w:r>
      <w:r w:rsidRPr="00A06E7C">
        <w:rPr>
          <w:rFonts w:ascii="Verdana" w:eastAsia="Times New Roman" w:hAnsi="Verdana" w:cs="Times New Roman"/>
          <w:color w:val="0D004C"/>
          <w:sz w:val="18"/>
          <w:szCs w:val="18"/>
        </w:rPr>
        <w:br/>
        <w:t> </w:t>
      </w:r>
    </w:p>
    <w:p w14:paraId="61E7F5B0" w14:textId="77777777" w:rsidR="00A06E7C" w:rsidRPr="00A06E7C" w:rsidRDefault="00A06E7C" w:rsidP="00A06E7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D004C"/>
          <w:sz w:val="18"/>
          <w:szCs w:val="18"/>
        </w:rPr>
      </w:pPr>
      <w:r w:rsidRPr="00A06E7C">
        <w:rPr>
          <w:rFonts w:ascii="Verdana" w:eastAsia="Times New Roman" w:hAnsi="Verdana" w:cs="Times New Roman"/>
          <w:b/>
          <w:bCs/>
          <w:color w:val="0D004C"/>
          <w:sz w:val="18"/>
          <w:szCs w:val="18"/>
        </w:rPr>
        <w:t>Interpreter</w:t>
      </w:r>
      <w:r w:rsidRPr="00A06E7C">
        <w:rPr>
          <w:rFonts w:ascii="Verdana" w:eastAsia="Times New Roman" w:hAnsi="Verdana" w:cs="Times New Roman"/>
          <w:color w:val="0D004C"/>
          <w:sz w:val="18"/>
          <w:szCs w:val="18"/>
        </w:rPr>
        <w:t>: person who accompanies researchers, in real time, to convey verbal information to another person in their native language</w:t>
      </w:r>
      <w:r w:rsidRPr="00A06E7C">
        <w:rPr>
          <w:rFonts w:ascii="Verdana" w:eastAsia="Times New Roman" w:hAnsi="Verdana" w:cs="Times New Roman"/>
          <w:color w:val="0D004C"/>
          <w:sz w:val="18"/>
          <w:szCs w:val="18"/>
        </w:rPr>
        <w:br/>
        <w:t> </w:t>
      </w:r>
    </w:p>
    <w:p w14:paraId="1AC95DB2" w14:textId="77777777" w:rsidR="00A06E7C" w:rsidRPr="00A06E7C" w:rsidRDefault="00A06E7C" w:rsidP="00A06E7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D004C"/>
          <w:sz w:val="18"/>
          <w:szCs w:val="18"/>
        </w:rPr>
      </w:pPr>
      <w:r w:rsidRPr="00A06E7C">
        <w:rPr>
          <w:rFonts w:ascii="Verdana" w:eastAsia="Times New Roman" w:hAnsi="Verdana" w:cs="Times New Roman"/>
          <w:b/>
          <w:bCs/>
          <w:color w:val="0D004C"/>
          <w:sz w:val="18"/>
          <w:szCs w:val="18"/>
        </w:rPr>
        <w:t>Medical Interpreter</w:t>
      </w:r>
      <w:r w:rsidRPr="00A06E7C">
        <w:rPr>
          <w:rFonts w:ascii="Verdana" w:eastAsia="Times New Roman" w:hAnsi="Verdana" w:cs="Times New Roman"/>
          <w:color w:val="0D004C"/>
          <w:sz w:val="18"/>
          <w:szCs w:val="18"/>
        </w:rPr>
        <w:t>: an interpreter who is familiar with medical terminology</w:t>
      </w:r>
      <w:r w:rsidRPr="00A06E7C">
        <w:rPr>
          <w:rFonts w:ascii="Verdana" w:eastAsia="Times New Roman" w:hAnsi="Verdana" w:cs="Times New Roman"/>
          <w:color w:val="0D004C"/>
          <w:sz w:val="18"/>
          <w:szCs w:val="18"/>
        </w:rPr>
        <w:br/>
        <w:t> </w:t>
      </w:r>
    </w:p>
    <w:p w14:paraId="67DE5F2B" w14:textId="5EE19141" w:rsidR="00A06E7C" w:rsidRPr="005B1AAE" w:rsidRDefault="00A06E7C" w:rsidP="005B1AA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D004C"/>
          <w:sz w:val="18"/>
          <w:szCs w:val="18"/>
        </w:rPr>
      </w:pPr>
      <w:r w:rsidRPr="00A06E7C">
        <w:rPr>
          <w:rFonts w:ascii="Verdana" w:eastAsia="Times New Roman" w:hAnsi="Verdana" w:cs="Times New Roman"/>
          <w:b/>
          <w:bCs/>
          <w:color w:val="0D004C"/>
          <w:sz w:val="18"/>
          <w:szCs w:val="18"/>
        </w:rPr>
        <w:t>Non-English speaking</w:t>
      </w:r>
      <w:r w:rsidRPr="00A06E7C">
        <w:rPr>
          <w:rFonts w:ascii="Verdana" w:eastAsia="Times New Roman" w:hAnsi="Verdana" w:cs="Times New Roman"/>
          <w:color w:val="0D004C"/>
          <w:sz w:val="18"/>
          <w:szCs w:val="18"/>
        </w:rPr>
        <w:t xml:space="preserve">: unable to </w:t>
      </w:r>
      <w:r w:rsidR="00CC3B01">
        <w:rPr>
          <w:rFonts w:ascii="Verdana" w:eastAsia="Times New Roman" w:hAnsi="Verdana" w:cs="Times New Roman"/>
          <w:color w:val="0D004C"/>
          <w:sz w:val="18"/>
          <w:szCs w:val="18"/>
        </w:rPr>
        <w:t>communicate in the</w:t>
      </w:r>
      <w:r w:rsidRPr="00A06E7C">
        <w:rPr>
          <w:rFonts w:ascii="Verdana" w:eastAsia="Times New Roman" w:hAnsi="Verdana" w:cs="Times New Roman"/>
          <w:color w:val="0D004C"/>
          <w:sz w:val="18"/>
          <w:szCs w:val="18"/>
        </w:rPr>
        <w:t xml:space="preserve"> English language</w:t>
      </w:r>
      <w:r w:rsidRPr="00A06E7C">
        <w:rPr>
          <w:rFonts w:ascii="Verdana" w:eastAsia="Times New Roman" w:hAnsi="Verdana" w:cs="Times New Roman"/>
          <w:color w:val="0D004C"/>
          <w:sz w:val="18"/>
          <w:szCs w:val="18"/>
        </w:rPr>
        <w:br/>
        <w:t> </w:t>
      </w:r>
      <w:r w:rsidRPr="005B1AAE">
        <w:rPr>
          <w:rFonts w:ascii="Verdana" w:eastAsia="Times New Roman" w:hAnsi="Verdana" w:cs="Times New Roman"/>
          <w:color w:val="0D004C"/>
          <w:sz w:val="18"/>
          <w:szCs w:val="18"/>
        </w:rPr>
        <w:t> </w:t>
      </w:r>
    </w:p>
    <w:p w14:paraId="2E619B0D" w14:textId="77777777" w:rsidR="00D0267F" w:rsidRDefault="00A06E7C" w:rsidP="00D0267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D004C"/>
          <w:sz w:val="18"/>
          <w:szCs w:val="18"/>
        </w:rPr>
      </w:pPr>
      <w:r w:rsidRPr="00A06E7C">
        <w:rPr>
          <w:rFonts w:ascii="Verdana" w:eastAsia="Times New Roman" w:hAnsi="Verdana" w:cs="Times New Roman"/>
          <w:b/>
          <w:bCs/>
          <w:color w:val="0D004C"/>
          <w:sz w:val="18"/>
          <w:szCs w:val="18"/>
        </w:rPr>
        <w:t>Witness</w:t>
      </w:r>
      <w:r w:rsidRPr="00A06E7C">
        <w:rPr>
          <w:rFonts w:ascii="Verdana" w:eastAsia="Times New Roman" w:hAnsi="Verdana" w:cs="Times New Roman"/>
          <w:color w:val="0D004C"/>
          <w:sz w:val="18"/>
          <w:szCs w:val="18"/>
        </w:rPr>
        <w:t>: an individual who is fluent in both English and the necessary foreign language who will be physically present during the consent process to observe the process and sign consent forms</w:t>
      </w:r>
    </w:p>
    <w:p w14:paraId="79BA11CC" w14:textId="1C11C5F5" w:rsidR="00A06E7C" w:rsidRDefault="00A06E7C" w:rsidP="00D0267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D004C"/>
          <w:sz w:val="27"/>
          <w:szCs w:val="27"/>
        </w:rPr>
      </w:pPr>
      <w:r w:rsidRPr="00D0267F">
        <w:rPr>
          <w:rFonts w:ascii="Verdana" w:hAnsi="Verdana"/>
          <w:color w:val="0D004C"/>
          <w:sz w:val="18"/>
          <w:szCs w:val="18"/>
        </w:rPr>
        <w:br/>
        <w:t> </w:t>
      </w:r>
      <w:r w:rsidR="00D0267F" w:rsidRPr="00A06E7C">
        <w:rPr>
          <w:rFonts w:ascii="Times New Roman" w:eastAsia="Times New Roman" w:hAnsi="Times New Roman" w:cs="Times New Roman"/>
          <w:b/>
          <w:bCs/>
          <w:color w:val="0D004C"/>
          <w:sz w:val="27"/>
          <w:szCs w:val="27"/>
        </w:rPr>
        <w:t>De</w:t>
      </w:r>
      <w:r w:rsidR="00D0267F">
        <w:rPr>
          <w:rFonts w:ascii="Times New Roman" w:eastAsia="Times New Roman" w:hAnsi="Times New Roman" w:cs="Times New Roman"/>
          <w:b/>
          <w:bCs/>
          <w:color w:val="0D004C"/>
          <w:sz w:val="27"/>
          <w:szCs w:val="27"/>
        </w:rPr>
        <w:t>termining Translation Requirement:</w:t>
      </w:r>
    </w:p>
    <w:p w14:paraId="70E4115B" w14:textId="42110A74" w:rsidR="00DF43C5" w:rsidRPr="00DF43C5" w:rsidRDefault="00DF43C5" w:rsidP="00A03B82">
      <w:pPr>
        <w:shd w:val="clear" w:color="auto" w:fill="FFFFFF"/>
        <w:spacing w:before="100" w:beforeAutospacing="1" w:after="100" w:afterAutospacing="1"/>
        <w:ind w:left="90"/>
        <w:rPr>
          <w:rFonts w:ascii="Verdana" w:eastAsia="Times New Roman" w:hAnsi="Verdana" w:cs="Times New Roman"/>
          <w:bCs/>
          <w:color w:val="0D004C"/>
          <w:sz w:val="18"/>
          <w:szCs w:val="18"/>
        </w:rPr>
      </w:pPr>
      <w:r w:rsidRPr="00DF43C5">
        <w:rPr>
          <w:rFonts w:ascii="Verdana" w:eastAsia="Times New Roman" w:hAnsi="Verdana" w:cs="Times New Roman"/>
          <w:bCs/>
          <w:color w:val="0D004C"/>
          <w:sz w:val="18"/>
          <w:szCs w:val="18"/>
        </w:rPr>
        <w:t xml:space="preserve">It is required that consent forms </w:t>
      </w:r>
      <w:r>
        <w:rPr>
          <w:rFonts w:ascii="Verdana" w:eastAsia="Times New Roman" w:hAnsi="Verdana" w:cs="Times New Roman"/>
          <w:bCs/>
          <w:color w:val="0D004C"/>
          <w:sz w:val="18"/>
          <w:szCs w:val="18"/>
        </w:rPr>
        <w:t xml:space="preserve">and study related interventions </w:t>
      </w:r>
      <w:r w:rsidRPr="00DF43C5">
        <w:rPr>
          <w:rFonts w:ascii="Verdana" w:eastAsia="Times New Roman" w:hAnsi="Verdana" w:cs="Times New Roman"/>
          <w:bCs/>
          <w:color w:val="0D004C"/>
          <w:sz w:val="18"/>
          <w:szCs w:val="18"/>
        </w:rPr>
        <w:t>be provided to subjects in the language which they</w:t>
      </w:r>
      <w:r>
        <w:rPr>
          <w:rFonts w:ascii="Verdana" w:eastAsia="Times New Roman" w:hAnsi="Verdana" w:cs="Times New Roman"/>
          <w:bCs/>
          <w:color w:val="0D004C"/>
          <w:sz w:val="18"/>
          <w:szCs w:val="18"/>
        </w:rPr>
        <w:t xml:space="preserve"> understand. There are different requirements for who can translate documents, serve as an interpreter and serve as a witness for consent for exempt, expedited and full board review studies. These requirements are detailed in the tables below.</w:t>
      </w:r>
    </w:p>
    <w:p w14:paraId="2E02F2D5" w14:textId="77777777" w:rsidR="00A03B82" w:rsidRDefault="00A03B82" w:rsidP="00A03B82">
      <w:pPr>
        <w:rPr>
          <w:rStyle w:val="Strong"/>
          <w:color w:val="0D004C"/>
        </w:rPr>
      </w:pPr>
    </w:p>
    <w:p w14:paraId="786601F9" w14:textId="77777777" w:rsidR="00A03B82" w:rsidRDefault="00A03B82" w:rsidP="00A03B82">
      <w:pPr>
        <w:rPr>
          <w:rStyle w:val="Strong"/>
          <w:color w:val="0D004C"/>
        </w:rPr>
      </w:pPr>
    </w:p>
    <w:p w14:paraId="0885F090" w14:textId="77777777" w:rsidR="00A03B82" w:rsidRDefault="00A03B82" w:rsidP="00A03B82">
      <w:pPr>
        <w:rPr>
          <w:rStyle w:val="Strong"/>
          <w:color w:val="0D004C"/>
        </w:rPr>
      </w:pPr>
    </w:p>
    <w:p w14:paraId="3287BAC7" w14:textId="77777777" w:rsidR="00A03B82" w:rsidRDefault="00A03B82" w:rsidP="00A03B82">
      <w:pPr>
        <w:rPr>
          <w:rStyle w:val="Strong"/>
          <w:color w:val="0D004C"/>
        </w:rPr>
      </w:pPr>
    </w:p>
    <w:p w14:paraId="73FDC70A" w14:textId="77777777" w:rsidR="00A03B82" w:rsidRDefault="00A03B82" w:rsidP="00A03B82">
      <w:pPr>
        <w:rPr>
          <w:rStyle w:val="Strong"/>
          <w:color w:val="0D004C"/>
        </w:rPr>
      </w:pPr>
    </w:p>
    <w:p w14:paraId="0318D6A6" w14:textId="77777777" w:rsidR="00A03B82" w:rsidRDefault="00A03B82">
      <w:pPr>
        <w:rPr>
          <w:rStyle w:val="Strong"/>
          <w:rFonts w:ascii="Times New Roman" w:hAnsi="Times New Roman" w:cs="Times New Roman"/>
          <w:color w:val="0D004C"/>
          <w:sz w:val="27"/>
          <w:szCs w:val="27"/>
        </w:rPr>
      </w:pPr>
      <w:r>
        <w:rPr>
          <w:rStyle w:val="Strong"/>
          <w:rFonts w:ascii="Times New Roman" w:hAnsi="Times New Roman" w:cs="Times New Roman"/>
          <w:color w:val="0D004C"/>
          <w:sz w:val="27"/>
          <w:szCs w:val="27"/>
        </w:rPr>
        <w:br w:type="page"/>
      </w:r>
    </w:p>
    <w:p w14:paraId="3DA32B67" w14:textId="77777777" w:rsidR="00CC3B01" w:rsidRDefault="00DF43C5" w:rsidP="00CC3B01">
      <w:pPr>
        <w:ind w:left="90"/>
      </w:pPr>
      <w:r w:rsidRPr="00A03B82">
        <w:rPr>
          <w:rStyle w:val="Strong"/>
          <w:rFonts w:ascii="Times New Roman" w:hAnsi="Times New Roman" w:cs="Times New Roman"/>
          <w:color w:val="0D004C"/>
          <w:sz w:val="27"/>
          <w:szCs w:val="27"/>
        </w:rPr>
        <w:lastRenderedPageBreak/>
        <w:t>Information at a Glance</w:t>
      </w:r>
      <w:r w:rsidR="00A03B82">
        <w:rPr>
          <w:rStyle w:val="Strong"/>
          <w:rFonts w:ascii="Times New Roman" w:hAnsi="Times New Roman" w:cs="Times New Roman"/>
          <w:color w:val="0D004C"/>
          <w:sz w:val="27"/>
          <w:szCs w:val="27"/>
        </w:rPr>
        <w:t>:</w:t>
      </w:r>
      <w:r w:rsidRPr="00A03B82">
        <w:rPr>
          <w:rFonts w:ascii="Times New Roman" w:hAnsi="Times New Roman" w:cs="Times New Roman"/>
          <w:color w:val="0D004C"/>
          <w:sz w:val="27"/>
          <w:szCs w:val="27"/>
        </w:rPr>
        <w:br/>
      </w:r>
    </w:p>
    <w:p w14:paraId="1645242A" w14:textId="353E99E8" w:rsidR="00A03B82" w:rsidRPr="00A03B82" w:rsidRDefault="00A03B82" w:rsidP="00CC3B01">
      <w:pPr>
        <w:ind w:left="90"/>
      </w:pPr>
      <w:r w:rsidRPr="00A03B82">
        <w:t>Table 1: Who Can Act as the Translator?</w:t>
      </w:r>
    </w:p>
    <w:p w14:paraId="7589150E" w14:textId="77777777" w:rsidR="00A03B82" w:rsidRPr="00A03B82" w:rsidRDefault="00A03B82" w:rsidP="00A03B82">
      <w:pPr>
        <w:pStyle w:val="ListParagraph"/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A03B82">
        <w:rPr>
          <w:rFonts w:ascii="Verdana" w:hAnsi="Verdana"/>
          <w:sz w:val="18"/>
          <w:szCs w:val="18"/>
        </w:rPr>
        <w:t xml:space="preserve">This individual must read, speak, and write the native language in English </w:t>
      </w:r>
    </w:p>
    <w:p w14:paraId="26F9A3F6" w14:textId="77777777" w:rsidR="00A03B82" w:rsidRDefault="00A03B82" w:rsidP="00A03B82"/>
    <w:tbl>
      <w:tblPr>
        <w:tblStyle w:val="TableGrid"/>
        <w:tblW w:w="10371" w:type="dxa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  <w:gridCol w:w="2075"/>
      </w:tblGrid>
      <w:tr w:rsidR="00A03B82" w14:paraId="2442EE5A" w14:textId="77777777" w:rsidTr="00A03B82">
        <w:trPr>
          <w:trHeight w:val="904"/>
        </w:trPr>
        <w:tc>
          <w:tcPr>
            <w:tcW w:w="2074" w:type="dxa"/>
          </w:tcPr>
          <w:p w14:paraId="5213E12B" w14:textId="77777777" w:rsidR="00A03B82" w:rsidRDefault="00A03B82" w:rsidP="001F384E"/>
        </w:tc>
        <w:tc>
          <w:tcPr>
            <w:tcW w:w="2074" w:type="dxa"/>
            <w:shd w:val="clear" w:color="auto" w:fill="B4C6E7" w:themeFill="accent1" w:themeFillTint="66"/>
          </w:tcPr>
          <w:p w14:paraId="5FB20F6D" w14:textId="77777777" w:rsidR="00A03B82" w:rsidRDefault="00A03B82" w:rsidP="001F384E">
            <w:r>
              <w:t xml:space="preserve">Exempt </w:t>
            </w:r>
          </w:p>
        </w:tc>
        <w:tc>
          <w:tcPr>
            <w:tcW w:w="2074" w:type="dxa"/>
            <w:shd w:val="clear" w:color="auto" w:fill="FFF2CC" w:themeFill="accent4" w:themeFillTint="33"/>
          </w:tcPr>
          <w:p w14:paraId="4D06BC83" w14:textId="77777777" w:rsidR="00A03B82" w:rsidRDefault="00A03B82" w:rsidP="001F384E">
            <w:r>
              <w:t>Expedited— No Clinical Procedures</w:t>
            </w:r>
          </w:p>
        </w:tc>
        <w:tc>
          <w:tcPr>
            <w:tcW w:w="2074" w:type="dxa"/>
            <w:shd w:val="clear" w:color="auto" w:fill="B4C6E7" w:themeFill="accent1" w:themeFillTint="66"/>
          </w:tcPr>
          <w:p w14:paraId="167AC75B" w14:textId="77777777" w:rsidR="00A03B82" w:rsidRDefault="00A03B82" w:rsidP="001F384E">
            <w:r>
              <w:t xml:space="preserve">Expedited—Involves Clinical Procedures </w:t>
            </w:r>
          </w:p>
        </w:tc>
        <w:tc>
          <w:tcPr>
            <w:tcW w:w="2075" w:type="dxa"/>
            <w:shd w:val="clear" w:color="auto" w:fill="FFF2CC" w:themeFill="accent4" w:themeFillTint="33"/>
          </w:tcPr>
          <w:p w14:paraId="7F3EB8C2" w14:textId="77777777" w:rsidR="00A03B82" w:rsidRDefault="00A03B82" w:rsidP="001F384E">
            <w:r>
              <w:t xml:space="preserve">Full Board </w:t>
            </w:r>
          </w:p>
        </w:tc>
      </w:tr>
      <w:tr w:rsidR="00A03B82" w14:paraId="38681ACF" w14:textId="77777777" w:rsidTr="00A03B82">
        <w:trPr>
          <w:trHeight w:val="904"/>
        </w:trPr>
        <w:tc>
          <w:tcPr>
            <w:tcW w:w="2074" w:type="dxa"/>
          </w:tcPr>
          <w:p w14:paraId="36BEC08C" w14:textId="77777777" w:rsidR="00A03B82" w:rsidRDefault="00A03B82" w:rsidP="001F384E">
            <w:r>
              <w:t>Fluent Study Team member</w:t>
            </w:r>
          </w:p>
        </w:tc>
        <w:tc>
          <w:tcPr>
            <w:tcW w:w="2074" w:type="dxa"/>
            <w:shd w:val="clear" w:color="auto" w:fill="B4C6E7" w:themeFill="accent1" w:themeFillTint="66"/>
          </w:tcPr>
          <w:p w14:paraId="4EED8A22" w14:textId="77777777" w:rsidR="00A03B82" w:rsidRDefault="00A03B82" w:rsidP="001F384E">
            <w:r>
              <w:t>Yes</w:t>
            </w:r>
          </w:p>
        </w:tc>
        <w:tc>
          <w:tcPr>
            <w:tcW w:w="2074" w:type="dxa"/>
            <w:shd w:val="clear" w:color="auto" w:fill="FFF2CC" w:themeFill="accent4" w:themeFillTint="33"/>
          </w:tcPr>
          <w:p w14:paraId="09D91AF0" w14:textId="77777777" w:rsidR="00A03B82" w:rsidRDefault="00A03B82" w:rsidP="001F384E">
            <w:r>
              <w:t>No</w:t>
            </w:r>
          </w:p>
        </w:tc>
        <w:tc>
          <w:tcPr>
            <w:tcW w:w="2074" w:type="dxa"/>
            <w:shd w:val="clear" w:color="auto" w:fill="B4C6E7" w:themeFill="accent1" w:themeFillTint="66"/>
          </w:tcPr>
          <w:p w14:paraId="68EB21D5" w14:textId="77777777" w:rsidR="00A03B82" w:rsidRDefault="00A03B82" w:rsidP="001F384E">
            <w:r>
              <w:t xml:space="preserve">No </w:t>
            </w:r>
          </w:p>
        </w:tc>
        <w:tc>
          <w:tcPr>
            <w:tcW w:w="2075" w:type="dxa"/>
            <w:shd w:val="clear" w:color="auto" w:fill="FFF2CC" w:themeFill="accent4" w:themeFillTint="33"/>
          </w:tcPr>
          <w:p w14:paraId="1F7DCE82" w14:textId="77777777" w:rsidR="00A03B82" w:rsidRDefault="00A03B82" w:rsidP="001F384E">
            <w:r>
              <w:t xml:space="preserve">No </w:t>
            </w:r>
          </w:p>
        </w:tc>
      </w:tr>
      <w:tr w:rsidR="00A03B82" w14:paraId="683B2B76" w14:textId="77777777" w:rsidTr="00A03B82">
        <w:trPr>
          <w:trHeight w:val="904"/>
        </w:trPr>
        <w:tc>
          <w:tcPr>
            <w:tcW w:w="2074" w:type="dxa"/>
          </w:tcPr>
          <w:p w14:paraId="0CD938EA" w14:textId="77777777" w:rsidR="00A03B82" w:rsidRDefault="00A03B82" w:rsidP="001F384E">
            <w:r>
              <w:t>Non-Certified translator who is not part of the study team</w:t>
            </w:r>
          </w:p>
        </w:tc>
        <w:tc>
          <w:tcPr>
            <w:tcW w:w="2074" w:type="dxa"/>
            <w:shd w:val="clear" w:color="auto" w:fill="B4C6E7" w:themeFill="accent1" w:themeFillTint="66"/>
          </w:tcPr>
          <w:p w14:paraId="046927F4" w14:textId="77777777" w:rsidR="00A03B82" w:rsidRDefault="00A03B82" w:rsidP="001F384E">
            <w:r>
              <w:t>Yes</w:t>
            </w:r>
          </w:p>
        </w:tc>
        <w:tc>
          <w:tcPr>
            <w:tcW w:w="2074" w:type="dxa"/>
            <w:shd w:val="clear" w:color="auto" w:fill="FFF2CC" w:themeFill="accent4" w:themeFillTint="33"/>
          </w:tcPr>
          <w:p w14:paraId="512E5EEE" w14:textId="77777777" w:rsidR="00A03B82" w:rsidRDefault="00A03B82" w:rsidP="001F384E">
            <w:r>
              <w:t>Yes</w:t>
            </w:r>
          </w:p>
        </w:tc>
        <w:tc>
          <w:tcPr>
            <w:tcW w:w="2074" w:type="dxa"/>
            <w:shd w:val="clear" w:color="auto" w:fill="B4C6E7" w:themeFill="accent1" w:themeFillTint="66"/>
          </w:tcPr>
          <w:p w14:paraId="7AFCBF80" w14:textId="77777777" w:rsidR="00A03B82" w:rsidRDefault="00A03B82" w:rsidP="001F384E">
            <w:r>
              <w:t xml:space="preserve">No </w:t>
            </w:r>
          </w:p>
        </w:tc>
        <w:tc>
          <w:tcPr>
            <w:tcW w:w="2075" w:type="dxa"/>
            <w:shd w:val="clear" w:color="auto" w:fill="FFF2CC" w:themeFill="accent4" w:themeFillTint="33"/>
          </w:tcPr>
          <w:p w14:paraId="4D4B990B" w14:textId="77777777" w:rsidR="00A03B82" w:rsidRDefault="00A03B82" w:rsidP="001F384E">
            <w:r>
              <w:t>No</w:t>
            </w:r>
          </w:p>
        </w:tc>
      </w:tr>
      <w:tr w:rsidR="00A03B82" w14:paraId="682E9FCA" w14:textId="77777777" w:rsidTr="00A03B82">
        <w:trPr>
          <w:trHeight w:val="982"/>
        </w:trPr>
        <w:tc>
          <w:tcPr>
            <w:tcW w:w="2074" w:type="dxa"/>
          </w:tcPr>
          <w:p w14:paraId="40FF405C" w14:textId="77777777" w:rsidR="00A03B82" w:rsidRDefault="00A03B82" w:rsidP="001F384E">
            <w:r>
              <w:t>Certified Translator who is not part of the study team</w:t>
            </w:r>
          </w:p>
        </w:tc>
        <w:tc>
          <w:tcPr>
            <w:tcW w:w="2074" w:type="dxa"/>
            <w:shd w:val="clear" w:color="auto" w:fill="B4C6E7" w:themeFill="accent1" w:themeFillTint="66"/>
          </w:tcPr>
          <w:p w14:paraId="1B54D1E1" w14:textId="77777777" w:rsidR="00A03B82" w:rsidRDefault="00A03B82" w:rsidP="001F384E">
            <w:r>
              <w:t>Yes</w:t>
            </w:r>
          </w:p>
        </w:tc>
        <w:tc>
          <w:tcPr>
            <w:tcW w:w="2074" w:type="dxa"/>
            <w:shd w:val="clear" w:color="auto" w:fill="FFF2CC" w:themeFill="accent4" w:themeFillTint="33"/>
          </w:tcPr>
          <w:p w14:paraId="20047104" w14:textId="77777777" w:rsidR="00A03B82" w:rsidRDefault="00A03B82" w:rsidP="001F384E">
            <w:r>
              <w:t>Yes</w:t>
            </w:r>
          </w:p>
        </w:tc>
        <w:tc>
          <w:tcPr>
            <w:tcW w:w="2074" w:type="dxa"/>
            <w:shd w:val="clear" w:color="auto" w:fill="B4C6E7" w:themeFill="accent1" w:themeFillTint="66"/>
          </w:tcPr>
          <w:p w14:paraId="65707CD8" w14:textId="77777777" w:rsidR="00A03B82" w:rsidRDefault="00A03B82" w:rsidP="001F384E">
            <w:r>
              <w:t>Yes</w:t>
            </w:r>
          </w:p>
        </w:tc>
        <w:tc>
          <w:tcPr>
            <w:tcW w:w="2075" w:type="dxa"/>
            <w:shd w:val="clear" w:color="auto" w:fill="FFF2CC" w:themeFill="accent4" w:themeFillTint="33"/>
          </w:tcPr>
          <w:p w14:paraId="277254DE" w14:textId="77777777" w:rsidR="00A03B82" w:rsidRDefault="00A03B82" w:rsidP="001F384E">
            <w:r>
              <w:t>Yes</w:t>
            </w:r>
          </w:p>
        </w:tc>
      </w:tr>
    </w:tbl>
    <w:p w14:paraId="5FB4EBBC" w14:textId="77777777" w:rsidR="00A03B82" w:rsidRDefault="00A03B82" w:rsidP="00CC3B01"/>
    <w:p w14:paraId="5A67507A" w14:textId="5A058BE8" w:rsidR="00A03B82" w:rsidRPr="00A03B82" w:rsidRDefault="00A03B82" w:rsidP="00CC3B01">
      <w:pPr>
        <w:pStyle w:val="Heading3"/>
        <w:spacing w:before="0" w:beforeAutospacing="0" w:after="0" w:afterAutospacing="0"/>
      </w:pPr>
      <w:r w:rsidRPr="00A03B82">
        <w:t>Table 2: Who can act as the Interpreter?</w:t>
      </w:r>
    </w:p>
    <w:p w14:paraId="488731A2" w14:textId="77777777" w:rsidR="00A03B82" w:rsidRPr="00A03B82" w:rsidRDefault="00A03B82" w:rsidP="00A03B82">
      <w:pPr>
        <w:pStyle w:val="ListParagraph"/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A03B82">
        <w:rPr>
          <w:rFonts w:ascii="Verdana" w:hAnsi="Verdana"/>
          <w:sz w:val="18"/>
          <w:szCs w:val="18"/>
        </w:rPr>
        <w:t>Must read, speak, and write the native language and English</w:t>
      </w:r>
    </w:p>
    <w:p w14:paraId="0588017A" w14:textId="77777777" w:rsidR="00A03B82" w:rsidRPr="00A03B82" w:rsidRDefault="00A03B82" w:rsidP="00A03B82">
      <w:pPr>
        <w:pStyle w:val="ListParagraph"/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A03B82">
        <w:rPr>
          <w:rFonts w:ascii="Verdana" w:hAnsi="Verdana"/>
          <w:sz w:val="18"/>
          <w:szCs w:val="18"/>
        </w:rPr>
        <w:t xml:space="preserve">Is available to answer Participants’ questions at any stage of the study. </w:t>
      </w:r>
    </w:p>
    <w:p w14:paraId="4DAD4ED5" w14:textId="77777777" w:rsidR="00A03B82" w:rsidRDefault="00A03B82" w:rsidP="00A03B82"/>
    <w:tbl>
      <w:tblPr>
        <w:tblStyle w:val="TableGrid"/>
        <w:tblW w:w="10371" w:type="dxa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  <w:gridCol w:w="2075"/>
      </w:tblGrid>
      <w:tr w:rsidR="00A03B82" w14:paraId="5A1A9FB3" w14:textId="77777777" w:rsidTr="00A03B82">
        <w:trPr>
          <w:trHeight w:val="1126"/>
        </w:trPr>
        <w:tc>
          <w:tcPr>
            <w:tcW w:w="2074" w:type="dxa"/>
          </w:tcPr>
          <w:p w14:paraId="0CB60CFC" w14:textId="77777777" w:rsidR="00A03B82" w:rsidRDefault="00A03B82" w:rsidP="001F384E"/>
        </w:tc>
        <w:tc>
          <w:tcPr>
            <w:tcW w:w="2074" w:type="dxa"/>
            <w:shd w:val="clear" w:color="auto" w:fill="B4C6E7" w:themeFill="accent1" w:themeFillTint="66"/>
          </w:tcPr>
          <w:p w14:paraId="3F1CDD96" w14:textId="77777777" w:rsidR="00A03B82" w:rsidRDefault="00A03B82" w:rsidP="001F384E">
            <w:r>
              <w:t>Exempt</w:t>
            </w:r>
          </w:p>
        </w:tc>
        <w:tc>
          <w:tcPr>
            <w:tcW w:w="2074" w:type="dxa"/>
            <w:shd w:val="clear" w:color="auto" w:fill="FFF2CC" w:themeFill="accent4" w:themeFillTint="33"/>
          </w:tcPr>
          <w:p w14:paraId="516DAC9E" w14:textId="77777777" w:rsidR="00A03B82" w:rsidRDefault="00A03B82" w:rsidP="001F384E">
            <w:r>
              <w:t>Expedited—No Clinical Procedures</w:t>
            </w:r>
          </w:p>
        </w:tc>
        <w:tc>
          <w:tcPr>
            <w:tcW w:w="2074" w:type="dxa"/>
            <w:shd w:val="clear" w:color="auto" w:fill="B4C6E7" w:themeFill="accent1" w:themeFillTint="66"/>
          </w:tcPr>
          <w:p w14:paraId="7783FD2A" w14:textId="77777777" w:rsidR="00A03B82" w:rsidRDefault="00A03B82" w:rsidP="001F384E">
            <w:r>
              <w:t xml:space="preserve">Expedited—Involves Clinical Procedures </w:t>
            </w:r>
          </w:p>
        </w:tc>
        <w:tc>
          <w:tcPr>
            <w:tcW w:w="2075" w:type="dxa"/>
            <w:shd w:val="clear" w:color="auto" w:fill="FFF2CC" w:themeFill="accent4" w:themeFillTint="33"/>
          </w:tcPr>
          <w:p w14:paraId="1D94374F" w14:textId="77777777" w:rsidR="00A03B82" w:rsidRDefault="00A03B82" w:rsidP="001F384E">
            <w:r>
              <w:t xml:space="preserve">Full Board </w:t>
            </w:r>
          </w:p>
        </w:tc>
      </w:tr>
      <w:tr w:rsidR="00A03B82" w14:paraId="43B15051" w14:textId="77777777" w:rsidTr="00A03B82">
        <w:trPr>
          <w:trHeight w:val="731"/>
        </w:trPr>
        <w:tc>
          <w:tcPr>
            <w:tcW w:w="2074" w:type="dxa"/>
          </w:tcPr>
          <w:p w14:paraId="4A6D733D" w14:textId="77777777" w:rsidR="00A03B82" w:rsidRDefault="00A03B82" w:rsidP="001F384E">
            <w:r>
              <w:t xml:space="preserve">Family member of participant </w:t>
            </w:r>
          </w:p>
        </w:tc>
        <w:tc>
          <w:tcPr>
            <w:tcW w:w="2074" w:type="dxa"/>
            <w:shd w:val="clear" w:color="auto" w:fill="B4C6E7" w:themeFill="accent1" w:themeFillTint="66"/>
          </w:tcPr>
          <w:p w14:paraId="63EAC380" w14:textId="77777777" w:rsidR="00A03B82" w:rsidRDefault="00A03B82" w:rsidP="001F384E">
            <w:r>
              <w:t xml:space="preserve">No </w:t>
            </w:r>
          </w:p>
        </w:tc>
        <w:tc>
          <w:tcPr>
            <w:tcW w:w="2074" w:type="dxa"/>
            <w:shd w:val="clear" w:color="auto" w:fill="FFF2CC" w:themeFill="accent4" w:themeFillTint="33"/>
          </w:tcPr>
          <w:p w14:paraId="405AE542" w14:textId="77777777" w:rsidR="00A03B82" w:rsidRDefault="00A03B82" w:rsidP="001F384E">
            <w:r>
              <w:t>No</w:t>
            </w:r>
          </w:p>
        </w:tc>
        <w:tc>
          <w:tcPr>
            <w:tcW w:w="2074" w:type="dxa"/>
            <w:shd w:val="clear" w:color="auto" w:fill="B4C6E7" w:themeFill="accent1" w:themeFillTint="66"/>
          </w:tcPr>
          <w:p w14:paraId="7A19F40F" w14:textId="77777777" w:rsidR="00A03B82" w:rsidRDefault="00A03B82" w:rsidP="001F384E">
            <w:r>
              <w:t xml:space="preserve">No </w:t>
            </w:r>
          </w:p>
        </w:tc>
        <w:tc>
          <w:tcPr>
            <w:tcW w:w="2075" w:type="dxa"/>
            <w:shd w:val="clear" w:color="auto" w:fill="FFF2CC" w:themeFill="accent4" w:themeFillTint="33"/>
          </w:tcPr>
          <w:p w14:paraId="50B4D08B" w14:textId="77777777" w:rsidR="00A03B82" w:rsidRDefault="00A03B82" w:rsidP="001F384E">
            <w:r>
              <w:t>No</w:t>
            </w:r>
          </w:p>
        </w:tc>
      </w:tr>
      <w:tr w:rsidR="00A03B82" w14:paraId="18EA23DE" w14:textId="77777777" w:rsidTr="00A03B82">
        <w:trPr>
          <w:trHeight w:val="801"/>
        </w:trPr>
        <w:tc>
          <w:tcPr>
            <w:tcW w:w="2074" w:type="dxa"/>
          </w:tcPr>
          <w:p w14:paraId="04631BE1" w14:textId="77777777" w:rsidR="00A03B82" w:rsidRDefault="00A03B82" w:rsidP="001F384E">
            <w:r>
              <w:t>Fluent study team member</w:t>
            </w:r>
          </w:p>
        </w:tc>
        <w:tc>
          <w:tcPr>
            <w:tcW w:w="2074" w:type="dxa"/>
            <w:shd w:val="clear" w:color="auto" w:fill="B4C6E7" w:themeFill="accent1" w:themeFillTint="66"/>
          </w:tcPr>
          <w:p w14:paraId="69314227" w14:textId="77777777" w:rsidR="00A03B82" w:rsidRDefault="00A03B82" w:rsidP="001F384E">
            <w:r>
              <w:t>Yes</w:t>
            </w:r>
          </w:p>
        </w:tc>
        <w:tc>
          <w:tcPr>
            <w:tcW w:w="2074" w:type="dxa"/>
            <w:shd w:val="clear" w:color="auto" w:fill="FFF2CC" w:themeFill="accent4" w:themeFillTint="33"/>
          </w:tcPr>
          <w:p w14:paraId="21C3D3F2" w14:textId="77777777" w:rsidR="00A03B82" w:rsidRDefault="00A03B82" w:rsidP="001F384E">
            <w:r>
              <w:t>No</w:t>
            </w:r>
          </w:p>
        </w:tc>
        <w:tc>
          <w:tcPr>
            <w:tcW w:w="2074" w:type="dxa"/>
            <w:shd w:val="clear" w:color="auto" w:fill="B4C6E7" w:themeFill="accent1" w:themeFillTint="66"/>
          </w:tcPr>
          <w:p w14:paraId="70A6B577" w14:textId="77777777" w:rsidR="00A03B82" w:rsidRDefault="00A03B82" w:rsidP="001F384E">
            <w:r>
              <w:t xml:space="preserve">No </w:t>
            </w:r>
          </w:p>
        </w:tc>
        <w:tc>
          <w:tcPr>
            <w:tcW w:w="2075" w:type="dxa"/>
            <w:shd w:val="clear" w:color="auto" w:fill="FFF2CC" w:themeFill="accent4" w:themeFillTint="33"/>
          </w:tcPr>
          <w:p w14:paraId="468C8C2B" w14:textId="77777777" w:rsidR="00A03B82" w:rsidRDefault="00A03B82" w:rsidP="001F384E">
            <w:r>
              <w:t>No</w:t>
            </w:r>
          </w:p>
        </w:tc>
      </w:tr>
      <w:tr w:rsidR="00A03B82" w14:paraId="4F2ABB5B" w14:textId="77777777" w:rsidTr="00A03B82">
        <w:trPr>
          <w:trHeight w:val="1126"/>
        </w:trPr>
        <w:tc>
          <w:tcPr>
            <w:tcW w:w="2074" w:type="dxa"/>
          </w:tcPr>
          <w:p w14:paraId="696EB1BF" w14:textId="77777777" w:rsidR="00A03B82" w:rsidRDefault="00A03B82" w:rsidP="001F384E">
            <w:r>
              <w:t>Bilingual individual who is not part of study team</w:t>
            </w:r>
          </w:p>
        </w:tc>
        <w:tc>
          <w:tcPr>
            <w:tcW w:w="2074" w:type="dxa"/>
            <w:shd w:val="clear" w:color="auto" w:fill="B4C6E7" w:themeFill="accent1" w:themeFillTint="66"/>
          </w:tcPr>
          <w:p w14:paraId="56A5CBC5" w14:textId="77777777" w:rsidR="00A03B82" w:rsidRDefault="00A03B82" w:rsidP="001F384E">
            <w:r>
              <w:t>Yes</w:t>
            </w:r>
          </w:p>
        </w:tc>
        <w:tc>
          <w:tcPr>
            <w:tcW w:w="2074" w:type="dxa"/>
            <w:shd w:val="clear" w:color="auto" w:fill="FFF2CC" w:themeFill="accent4" w:themeFillTint="33"/>
          </w:tcPr>
          <w:p w14:paraId="3187272C" w14:textId="77777777" w:rsidR="00A03B82" w:rsidRDefault="00A03B82" w:rsidP="001F384E">
            <w:r>
              <w:t>Yes</w:t>
            </w:r>
          </w:p>
        </w:tc>
        <w:tc>
          <w:tcPr>
            <w:tcW w:w="2074" w:type="dxa"/>
            <w:shd w:val="clear" w:color="auto" w:fill="B4C6E7" w:themeFill="accent1" w:themeFillTint="66"/>
          </w:tcPr>
          <w:p w14:paraId="28F69E53" w14:textId="77777777" w:rsidR="00A03B82" w:rsidRDefault="00A03B82" w:rsidP="001F384E">
            <w:r>
              <w:t>No</w:t>
            </w:r>
          </w:p>
        </w:tc>
        <w:tc>
          <w:tcPr>
            <w:tcW w:w="2075" w:type="dxa"/>
            <w:shd w:val="clear" w:color="auto" w:fill="FFF2CC" w:themeFill="accent4" w:themeFillTint="33"/>
          </w:tcPr>
          <w:p w14:paraId="182499BE" w14:textId="77777777" w:rsidR="00A03B82" w:rsidRDefault="00A03B82" w:rsidP="001F384E">
            <w:r>
              <w:t>No</w:t>
            </w:r>
          </w:p>
        </w:tc>
      </w:tr>
      <w:tr w:rsidR="00A03B82" w14:paraId="3F126115" w14:textId="77777777" w:rsidTr="00A03B82">
        <w:trPr>
          <w:trHeight w:val="1126"/>
        </w:trPr>
        <w:tc>
          <w:tcPr>
            <w:tcW w:w="2074" w:type="dxa"/>
          </w:tcPr>
          <w:p w14:paraId="356267C7" w14:textId="77777777" w:rsidR="00A03B82" w:rsidRDefault="00A03B82" w:rsidP="001F384E">
            <w:r>
              <w:t>Bilingual Clinical staff who is not part of the study team</w:t>
            </w:r>
          </w:p>
        </w:tc>
        <w:tc>
          <w:tcPr>
            <w:tcW w:w="2074" w:type="dxa"/>
            <w:shd w:val="clear" w:color="auto" w:fill="B4C6E7" w:themeFill="accent1" w:themeFillTint="66"/>
          </w:tcPr>
          <w:p w14:paraId="1B340F58" w14:textId="77777777" w:rsidR="00A03B82" w:rsidRDefault="00A03B82" w:rsidP="001F384E">
            <w:r>
              <w:t>Yes</w:t>
            </w:r>
          </w:p>
        </w:tc>
        <w:tc>
          <w:tcPr>
            <w:tcW w:w="2074" w:type="dxa"/>
            <w:shd w:val="clear" w:color="auto" w:fill="FFF2CC" w:themeFill="accent4" w:themeFillTint="33"/>
          </w:tcPr>
          <w:p w14:paraId="373D5279" w14:textId="77777777" w:rsidR="00A03B82" w:rsidRDefault="00A03B82" w:rsidP="001F384E">
            <w:r>
              <w:t>Yes</w:t>
            </w:r>
          </w:p>
        </w:tc>
        <w:tc>
          <w:tcPr>
            <w:tcW w:w="2074" w:type="dxa"/>
            <w:shd w:val="clear" w:color="auto" w:fill="B4C6E7" w:themeFill="accent1" w:themeFillTint="66"/>
          </w:tcPr>
          <w:p w14:paraId="4691CBF1" w14:textId="77777777" w:rsidR="00A03B82" w:rsidRDefault="00A03B82" w:rsidP="001F384E">
            <w:r>
              <w:t>Yes</w:t>
            </w:r>
          </w:p>
        </w:tc>
        <w:tc>
          <w:tcPr>
            <w:tcW w:w="2075" w:type="dxa"/>
            <w:shd w:val="clear" w:color="auto" w:fill="FFF2CC" w:themeFill="accent4" w:themeFillTint="33"/>
          </w:tcPr>
          <w:p w14:paraId="6249AA2D" w14:textId="77777777" w:rsidR="00A03B82" w:rsidRDefault="00A03B82" w:rsidP="001F384E">
            <w:r>
              <w:t>Yes</w:t>
            </w:r>
          </w:p>
        </w:tc>
      </w:tr>
      <w:tr w:rsidR="00A03B82" w14:paraId="1449E525" w14:textId="77777777" w:rsidTr="00A03B82">
        <w:trPr>
          <w:trHeight w:val="1126"/>
        </w:trPr>
        <w:tc>
          <w:tcPr>
            <w:tcW w:w="2074" w:type="dxa"/>
          </w:tcPr>
          <w:p w14:paraId="3F232936" w14:textId="77777777" w:rsidR="00A03B82" w:rsidRDefault="00A03B82" w:rsidP="001F384E">
            <w:r>
              <w:t xml:space="preserve">Medical Interpreter who is not part of the study team </w:t>
            </w:r>
          </w:p>
        </w:tc>
        <w:tc>
          <w:tcPr>
            <w:tcW w:w="2074" w:type="dxa"/>
            <w:shd w:val="clear" w:color="auto" w:fill="B4C6E7" w:themeFill="accent1" w:themeFillTint="66"/>
          </w:tcPr>
          <w:p w14:paraId="42F0DA81" w14:textId="77777777" w:rsidR="00A03B82" w:rsidRDefault="00A03B82" w:rsidP="001F384E">
            <w:r>
              <w:t>Yes</w:t>
            </w:r>
          </w:p>
        </w:tc>
        <w:tc>
          <w:tcPr>
            <w:tcW w:w="2074" w:type="dxa"/>
            <w:shd w:val="clear" w:color="auto" w:fill="FFF2CC" w:themeFill="accent4" w:themeFillTint="33"/>
          </w:tcPr>
          <w:p w14:paraId="2CFB5132" w14:textId="77777777" w:rsidR="00A03B82" w:rsidRDefault="00A03B82" w:rsidP="001F384E">
            <w:r>
              <w:t>Yes</w:t>
            </w:r>
          </w:p>
        </w:tc>
        <w:tc>
          <w:tcPr>
            <w:tcW w:w="2074" w:type="dxa"/>
            <w:shd w:val="clear" w:color="auto" w:fill="B4C6E7" w:themeFill="accent1" w:themeFillTint="66"/>
          </w:tcPr>
          <w:p w14:paraId="4066A5D5" w14:textId="77777777" w:rsidR="00A03B82" w:rsidRDefault="00A03B82" w:rsidP="001F384E">
            <w:r>
              <w:t>Yes</w:t>
            </w:r>
          </w:p>
        </w:tc>
        <w:tc>
          <w:tcPr>
            <w:tcW w:w="2075" w:type="dxa"/>
            <w:shd w:val="clear" w:color="auto" w:fill="FFF2CC" w:themeFill="accent4" w:themeFillTint="33"/>
          </w:tcPr>
          <w:p w14:paraId="3CF4BED6" w14:textId="77777777" w:rsidR="00A03B82" w:rsidRDefault="00A03B82" w:rsidP="001F384E">
            <w:r>
              <w:t>Yes</w:t>
            </w:r>
          </w:p>
        </w:tc>
      </w:tr>
    </w:tbl>
    <w:p w14:paraId="01B5EDBF" w14:textId="77777777" w:rsidR="00A03B82" w:rsidRDefault="00A03B82" w:rsidP="00A03B82">
      <w:pPr>
        <w:rPr>
          <w:b/>
        </w:rPr>
      </w:pPr>
    </w:p>
    <w:p w14:paraId="71E88844" w14:textId="13724E63" w:rsidR="00A03B82" w:rsidRPr="00A03B82" w:rsidRDefault="00A03B82" w:rsidP="00CC3B01">
      <w:pPr>
        <w:pStyle w:val="Heading3"/>
      </w:pPr>
      <w:r w:rsidRPr="00A03B82">
        <w:lastRenderedPageBreak/>
        <w:t>Table 3: Who Can act as the Witness?</w:t>
      </w:r>
    </w:p>
    <w:p w14:paraId="00C09204" w14:textId="77777777" w:rsidR="00A03B82" w:rsidRPr="00A03B82" w:rsidRDefault="00A03B82" w:rsidP="00A03B82">
      <w:pPr>
        <w:pStyle w:val="ListParagraph"/>
        <w:numPr>
          <w:ilvl w:val="0"/>
          <w:numId w:val="15"/>
        </w:numPr>
        <w:rPr>
          <w:rFonts w:ascii="Verdana" w:hAnsi="Verdana"/>
          <w:sz w:val="18"/>
          <w:szCs w:val="18"/>
        </w:rPr>
      </w:pPr>
      <w:r w:rsidRPr="00A03B82">
        <w:rPr>
          <w:rFonts w:ascii="Verdana" w:hAnsi="Verdana"/>
          <w:sz w:val="18"/>
          <w:szCs w:val="18"/>
        </w:rPr>
        <w:t>Must read, speak, and write the native language and English</w:t>
      </w:r>
    </w:p>
    <w:p w14:paraId="19BCB4F7" w14:textId="33895180" w:rsidR="00A03B82" w:rsidRPr="00A03B82" w:rsidRDefault="00A03B82" w:rsidP="00A03B82">
      <w:pPr>
        <w:pStyle w:val="ListParagraph"/>
        <w:numPr>
          <w:ilvl w:val="0"/>
          <w:numId w:val="15"/>
        </w:numPr>
        <w:rPr>
          <w:rFonts w:ascii="Verdana" w:hAnsi="Verdana"/>
          <w:sz w:val="18"/>
          <w:szCs w:val="18"/>
        </w:rPr>
      </w:pPr>
      <w:r w:rsidRPr="00A03B82">
        <w:rPr>
          <w:rFonts w:ascii="Verdana" w:hAnsi="Verdana"/>
          <w:sz w:val="18"/>
          <w:szCs w:val="18"/>
        </w:rPr>
        <w:t xml:space="preserve">Must be physically present for the consent process </w:t>
      </w:r>
    </w:p>
    <w:p w14:paraId="77771AE7" w14:textId="77777777" w:rsidR="00A03B82" w:rsidRDefault="00A03B82" w:rsidP="00A03B82"/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502"/>
        <w:gridCol w:w="2502"/>
        <w:gridCol w:w="2502"/>
        <w:gridCol w:w="2502"/>
      </w:tblGrid>
      <w:tr w:rsidR="00A03B82" w14:paraId="46A0A5DA" w14:textId="77777777" w:rsidTr="00A03B82">
        <w:trPr>
          <w:trHeight w:val="1070"/>
        </w:trPr>
        <w:tc>
          <w:tcPr>
            <w:tcW w:w="2502" w:type="dxa"/>
          </w:tcPr>
          <w:p w14:paraId="2F501272" w14:textId="77777777" w:rsidR="00A03B82" w:rsidRDefault="00A03B82" w:rsidP="001F384E">
            <w:r>
              <w:t xml:space="preserve">Documentation </w:t>
            </w:r>
          </w:p>
        </w:tc>
        <w:tc>
          <w:tcPr>
            <w:tcW w:w="2502" w:type="dxa"/>
            <w:shd w:val="clear" w:color="auto" w:fill="B4C6E7" w:themeFill="accent1" w:themeFillTint="66"/>
          </w:tcPr>
          <w:p w14:paraId="2DE06313" w14:textId="77777777" w:rsidR="00A03B82" w:rsidRDefault="00A03B82" w:rsidP="001F384E">
            <w:r>
              <w:t xml:space="preserve">Expedited—No Clinical procedures </w:t>
            </w:r>
          </w:p>
        </w:tc>
        <w:tc>
          <w:tcPr>
            <w:tcW w:w="2502" w:type="dxa"/>
            <w:shd w:val="clear" w:color="auto" w:fill="FFF2CC" w:themeFill="accent4" w:themeFillTint="33"/>
          </w:tcPr>
          <w:p w14:paraId="1445AA92" w14:textId="77777777" w:rsidR="00A03B82" w:rsidRDefault="00A03B82" w:rsidP="001F384E">
            <w:r>
              <w:t xml:space="preserve">Expedited—Involves Clinical Procedures </w:t>
            </w:r>
          </w:p>
        </w:tc>
        <w:tc>
          <w:tcPr>
            <w:tcW w:w="2502" w:type="dxa"/>
            <w:shd w:val="clear" w:color="auto" w:fill="B4C6E7" w:themeFill="accent1" w:themeFillTint="66"/>
          </w:tcPr>
          <w:p w14:paraId="4FAD4E46" w14:textId="77777777" w:rsidR="00A03B82" w:rsidRDefault="00A03B82" w:rsidP="001F384E">
            <w:r>
              <w:t xml:space="preserve">Full Board </w:t>
            </w:r>
          </w:p>
        </w:tc>
      </w:tr>
      <w:tr w:rsidR="00A03B82" w14:paraId="09B52A26" w14:textId="77777777" w:rsidTr="00A03B82">
        <w:trPr>
          <w:trHeight w:val="893"/>
        </w:trPr>
        <w:tc>
          <w:tcPr>
            <w:tcW w:w="2502" w:type="dxa"/>
          </w:tcPr>
          <w:p w14:paraId="1C076E8B" w14:textId="77777777" w:rsidR="00A03B82" w:rsidRDefault="00A03B82" w:rsidP="001F384E">
            <w:r>
              <w:t>Fluent study team member</w:t>
            </w:r>
          </w:p>
        </w:tc>
        <w:tc>
          <w:tcPr>
            <w:tcW w:w="2502" w:type="dxa"/>
            <w:shd w:val="clear" w:color="auto" w:fill="B4C6E7" w:themeFill="accent1" w:themeFillTint="66"/>
          </w:tcPr>
          <w:p w14:paraId="642895DF" w14:textId="77777777" w:rsidR="00A03B82" w:rsidRDefault="00A03B82" w:rsidP="001F384E">
            <w:r>
              <w:t>Yes</w:t>
            </w:r>
          </w:p>
        </w:tc>
        <w:tc>
          <w:tcPr>
            <w:tcW w:w="2502" w:type="dxa"/>
            <w:shd w:val="clear" w:color="auto" w:fill="FFF2CC" w:themeFill="accent4" w:themeFillTint="33"/>
          </w:tcPr>
          <w:p w14:paraId="040A81E1" w14:textId="77777777" w:rsidR="00A03B82" w:rsidRDefault="00A03B82" w:rsidP="001F384E">
            <w:r>
              <w:t>Yes</w:t>
            </w:r>
          </w:p>
        </w:tc>
        <w:tc>
          <w:tcPr>
            <w:tcW w:w="2502" w:type="dxa"/>
            <w:shd w:val="clear" w:color="auto" w:fill="B4C6E7" w:themeFill="accent1" w:themeFillTint="66"/>
          </w:tcPr>
          <w:p w14:paraId="22253D80" w14:textId="77777777" w:rsidR="00A03B82" w:rsidRDefault="00A03B82" w:rsidP="001F384E">
            <w:r>
              <w:t>Yes</w:t>
            </w:r>
          </w:p>
        </w:tc>
      </w:tr>
      <w:tr w:rsidR="00A03B82" w14:paraId="641F6F87" w14:textId="77777777" w:rsidTr="00A03B82">
        <w:trPr>
          <w:trHeight w:val="893"/>
        </w:trPr>
        <w:tc>
          <w:tcPr>
            <w:tcW w:w="2502" w:type="dxa"/>
          </w:tcPr>
          <w:p w14:paraId="061EB4B2" w14:textId="77777777" w:rsidR="00A03B82" w:rsidRDefault="00A03B82" w:rsidP="001F384E">
            <w:r>
              <w:t xml:space="preserve">Family member of Participant </w:t>
            </w:r>
          </w:p>
        </w:tc>
        <w:tc>
          <w:tcPr>
            <w:tcW w:w="2502" w:type="dxa"/>
            <w:shd w:val="clear" w:color="auto" w:fill="B4C6E7" w:themeFill="accent1" w:themeFillTint="66"/>
          </w:tcPr>
          <w:p w14:paraId="6306CFAD" w14:textId="77777777" w:rsidR="00A03B82" w:rsidRDefault="00A03B82" w:rsidP="001F384E">
            <w:r>
              <w:t>Yes</w:t>
            </w:r>
          </w:p>
        </w:tc>
        <w:tc>
          <w:tcPr>
            <w:tcW w:w="2502" w:type="dxa"/>
            <w:shd w:val="clear" w:color="auto" w:fill="FFF2CC" w:themeFill="accent4" w:themeFillTint="33"/>
          </w:tcPr>
          <w:p w14:paraId="175A16D6" w14:textId="77777777" w:rsidR="00A03B82" w:rsidRDefault="00A03B82" w:rsidP="001F384E">
            <w:r>
              <w:t>Yes</w:t>
            </w:r>
          </w:p>
        </w:tc>
        <w:tc>
          <w:tcPr>
            <w:tcW w:w="2502" w:type="dxa"/>
            <w:shd w:val="clear" w:color="auto" w:fill="B4C6E7" w:themeFill="accent1" w:themeFillTint="66"/>
          </w:tcPr>
          <w:p w14:paraId="762AD44C" w14:textId="77777777" w:rsidR="00A03B82" w:rsidRDefault="00A03B82" w:rsidP="001F384E">
            <w:r>
              <w:t>Yes</w:t>
            </w:r>
          </w:p>
        </w:tc>
      </w:tr>
      <w:tr w:rsidR="00A03B82" w14:paraId="2C726AAC" w14:textId="77777777" w:rsidTr="00A03B82">
        <w:trPr>
          <w:trHeight w:val="893"/>
        </w:trPr>
        <w:tc>
          <w:tcPr>
            <w:tcW w:w="2502" w:type="dxa"/>
          </w:tcPr>
          <w:p w14:paraId="25067B11" w14:textId="77777777" w:rsidR="00A03B82" w:rsidRDefault="00A03B82" w:rsidP="001F384E">
            <w:r>
              <w:t>Bilingual Clinical Staff</w:t>
            </w:r>
          </w:p>
        </w:tc>
        <w:tc>
          <w:tcPr>
            <w:tcW w:w="2502" w:type="dxa"/>
            <w:shd w:val="clear" w:color="auto" w:fill="B4C6E7" w:themeFill="accent1" w:themeFillTint="66"/>
          </w:tcPr>
          <w:p w14:paraId="04ABF9AC" w14:textId="77777777" w:rsidR="00A03B82" w:rsidRDefault="00A03B82" w:rsidP="001F384E">
            <w:r>
              <w:t>Yes</w:t>
            </w:r>
          </w:p>
        </w:tc>
        <w:tc>
          <w:tcPr>
            <w:tcW w:w="2502" w:type="dxa"/>
            <w:shd w:val="clear" w:color="auto" w:fill="FFF2CC" w:themeFill="accent4" w:themeFillTint="33"/>
          </w:tcPr>
          <w:p w14:paraId="5495DB54" w14:textId="77777777" w:rsidR="00A03B82" w:rsidRDefault="00A03B82" w:rsidP="001F384E">
            <w:r>
              <w:t>Yes</w:t>
            </w:r>
          </w:p>
        </w:tc>
        <w:tc>
          <w:tcPr>
            <w:tcW w:w="2502" w:type="dxa"/>
            <w:shd w:val="clear" w:color="auto" w:fill="B4C6E7" w:themeFill="accent1" w:themeFillTint="66"/>
          </w:tcPr>
          <w:p w14:paraId="140C06ED" w14:textId="77777777" w:rsidR="00A03B82" w:rsidRDefault="00A03B82" w:rsidP="001F384E">
            <w:r>
              <w:t>Yes</w:t>
            </w:r>
          </w:p>
        </w:tc>
      </w:tr>
      <w:tr w:rsidR="00A03B82" w14:paraId="1DEFB7BC" w14:textId="77777777" w:rsidTr="00A03B82">
        <w:trPr>
          <w:trHeight w:val="893"/>
        </w:trPr>
        <w:tc>
          <w:tcPr>
            <w:tcW w:w="2502" w:type="dxa"/>
          </w:tcPr>
          <w:p w14:paraId="3C730148" w14:textId="77777777" w:rsidR="00A03B82" w:rsidRDefault="00A03B82" w:rsidP="001F384E">
            <w:r>
              <w:t xml:space="preserve">The person acting as Interpreter </w:t>
            </w:r>
          </w:p>
        </w:tc>
        <w:tc>
          <w:tcPr>
            <w:tcW w:w="2502" w:type="dxa"/>
            <w:shd w:val="clear" w:color="auto" w:fill="B4C6E7" w:themeFill="accent1" w:themeFillTint="66"/>
          </w:tcPr>
          <w:p w14:paraId="2304F4DC" w14:textId="77777777" w:rsidR="00A03B82" w:rsidRDefault="00A03B82" w:rsidP="001F384E">
            <w:r>
              <w:t>Yes</w:t>
            </w:r>
          </w:p>
        </w:tc>
        <w:tc>
          <w:tcPr>
            <w:tcW w:w="2502" w:type="dxa"/>
            <w:shd w:val="clear" w:color="auto" w:fill="FFF2CC" w:themeFill="accent4" w:themeFillTint="33"/>
          </w:tcPr>
          <w:p w14:paraId="10325D43" w14:textId="77777777" w:rsidR="00A03B82" w:rsidRDefault="00A03B82" w:rsidP="001F384E">
            <w:r>
              <w:t>Yes</w:t>
            </w:r>
          </w:p>
        </w:tc>
        <w:tc>
          <w:tcPr>
            <w:tcW w:w="2502" w:type="dxa"/>
            <w:shd w:val="clear" w:color="auto" w:fill="B4C6E7" w:themeFill="accent1" w:themeFillTint="66"/>
          </w:tcPr>
          <w:p w14:paraId="773095CC" w14:textId="77777777" w:rsidR="00A03B82" w:rsidRDefault="00A03B82" w:rsidP="001F384E">
            <w:r>
              <w:t>Yes</w:t>
            </w:r>
          </w:p>
        </w:tc>
      </w:tr>
    </w:tbl>
    <w:p w14:paraId="10686E42" w14:textId="77777777" w:rsidR="00A03B82" w:rsidRDefault="00A03B82" w:rsidP="00A03B82"/>
    <w:p w14:paraId="3AC485F5" w14:textId="77777777" w:rsidR="00A03B82" w:rsidRDefault="00A03B82" w:rsidP="00A03B82"/>
    <w:p w14:paraId="54D44482" w14:textId="77777777" w:rsidR="00DF43C5" w:rsidRDefault="00DF43C5" w:rsidP="00DF43C5">
      <w:pPr>
        <w:pStyle w:val="Heading3"/>
        <w:shd w:val="clear" w:color="auto" w:fill="FFFFFF"/>
        <w:rPr>
          <w:color w:val="0D004C"/>
        </w:rPr>
      </w:pPr>
      <w:r>
        <w:rPr>
          <w:rStyle w:val="Strong"/>
          <w:b/>
          <w:bCs/>
          <w:color w:val="0D004C"/>
        </w:rPr>
        <w:t>Frequently Asked Questions</w:t>
      </w:r>
    </w:p>
    <w:p w14:paraId="6E551859" w14:textId="77777777" w:rsidR="00DF43C5" w:rsidRPr="00A03B82" w:rsidRDefault="00DF43C5" w:rsidP="00DF43C5">
      <w:pPr>
        <w:pStyle w:val="NormalWeb"/>
        <w:shd w:val="clear" w:color="auto" w:fill="FFFFFF"/>
        <w:spacing w:before="0" w:beforeAutospacing="0" w:after="225" w:afterAutospacing="0"/>
        <w:rPr>
          <w:rFonts w:ascii="Verdana" w:hAnsi="Verdana"/>
          <w:color w:val="0D004C"/>
          <w:sz w:val="18"/>
          <w:szCs w:val="18"/>
        </w:rPr>
      </w:pPr>
      <w:r w:rsidRPr="00A03B82">
        <w:rPr>
          <w:rStyle w:val="Strong"/>
          <w:rFonts w:ascii="Verdana" w:hAnsi="Verdana"/>
          <w:color w:val="0D004C"/>
          <w:sz w:val="18"/>
          <w:szCs w:val="18"/>
        </w:rPr>
        <w:t>Where can I find a Translator or Interpreter to hire?</w:t>
      </w:r>
    </w:p>
    <w:p w14:paraId="51940877" w14:textId="77777777" w:rsidR="00DF43C5" w:rsidRPr="00A03B82" w:rsidRDefault="00DF43C5" w:rsidP="00DF43C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D004C"/>
          <w:sz w:val="18"/>
          <w:szCs w:val="18"/>
        </w:rPr>
      </w:pPr>
      <w:r w:rsidRPr="00A03B82">
        <w:rPr>
          <w:rFonts w:ascii="Verdana" w:hAnsi="Verdana"/>
          <w:color w:val="0D004C"/>
          <w:sz w:val="18"/>
          <w:szCs w:val="18"/>
        </w:rPr>
        <w:t>The IRB does not endorse or recommend any specific translator or interpreter services.</w:t>
      </w:r>
    </w:p>
    <w:p w14:paraId="3F009AC8" w14:textId="77777777" w:rsidR="00A03B82" w:rsidRDefault="00DF43C5" w:rsidP="00A03B82">
      <w:pPr>
        <w:numPr>
          <w:ilvl w:val="0"/>
          <w:numId w:val="10"/>
        </w:numPr>
        <w:shd w:val="clear" w:color="auto" w:fill="FFFFFF"/>
        <w:spacing w:after="225"/>
        <w:rPr>
          <w:rFonts w:ascii="Verdana" w:hAnsi="Verdana"/>
          <w:color w:val="0D004C"/>
          <w:sz w:val="18"/>
          <w:szCs w:val="18"/>
        </w:rPr>
      </w:pPr>
      <w:r w:rsidRPr="00A03B82">
        <w:rPr>
          <w:rFonts w:ascii="Verdana" w:hAnsi="Verdana"/>
          <w:color w:val="0D004C"/>
          <w:sz w:val="18"/>
          <w:szCs w:val="18"/>
        </w:rPr>
        <w:t xml:space="preserve">If your study requires a certified language professional, please first contact your Department Administrator to determine if your department has a preferred service provider. </w:t>
      </w:r>
    </w:p>
    <w:p w14:paraId="16F5FBB0" w14:textId="350F2C32" w:rsidR="00A06E7C" w:rsidRDefault="00A06E7C"/>
    <w:p w14:paraId="221F423F" w14:textId="43EA2157" w:rsidR="00DF43C5" w:rsidRDefault="00A03B82">
      <w:pPr>
        <w:rPr>
          <w:b/>
        </w:rPr>
      </w:pPr>
      <w:r>
        <w:rPr>
          <w:b/>
        </w:rPr>
        <w:t>What if I end up with potential subjects who speak</w:t>
      </w:r>
      <w:r w:rsidR="00CC3B01">
        <w:rPr>
          <w:b/>
        </w:rPr>
        <w:t>s</w:t>
      </w:r>
      <w:bookmarkStart w:id="0" w:name="_GoBack"/>
      <w:bookmarkEnd w:id="0"/>
      <w:r>
        <w:rPr>
          <w:b/>
        </w:rPr>
        <w:t xml:space="preserve"> a language other than English and I want to enroll them in the study, but I did not plan for this in my initial IRB application?</w:t>
      </w:r>
    </w:p>
    <w:p w14:paraId="01004AB5" w14:textId="033EA533" w:rsidR="00A03B82" w:rsidRDefault="00A03B82">
      <w:pPr>
        <w:rPr>
          <w:b/>
        </w:rPr>
      </w:pPr>
    </w:p>
    <w:p w14:paraId="155445C9" w14:textId="60F67216" w:rsidR="00A03B82" w:rsidRPr="00A03B82" w:rsidRDefault="00A03B82" w:rsidP="00A03B82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225" w:afterAutospacing="0"/>
        <w:rPr>
          <w:rFonts w:ascii="Verdana" w:hAnsi="Verdana"/>
          <w:color w:val="0D004C"/>
          <w:sz w:val="18"/>
          <w:szCs w:val="18"/>
        </w:rPr>
      </w:pPr>
      <w:r>
        <w:rPr>
          <w:rFonts w:ascii="Verdana" w:hAnsi="Verdana"/>
          <w:color w:val="0D004C"/>
          <w:sz w:val="18"/>
          <w:szCs w:val="18"/>
        </w:rPr>
        <w:t>If at any point the study transitions to planning the enrollment of subjects that speak a particular non-English language, the IRB application must be modified and</w:t>
      </w:r>
      <w:r w:rsidR="00913961">
        <w:rPr>
          <w:rFonts w:ascii="Verdana" w:hAnsi="Verdana"/>
          <w:color w:val="0D004C"/>
          <w:sz w:val="18"/>
          <w:szCs w:val="18"/>
        </w:rPr>
        <w:t xml:space="preserve"> </w:t>
      </w:r>
      <w:r>
        <w:rPr>
          <w:rFonts w:ascii="Verdana" w:hAnsi="Verdana"/>
          <w:color w:val="0D004C"/>
          <w:sz w:val="18"/>
          <w:szCs w:val="18"/>
        </w:rPr>
        <w:t>translated documents must be submitted before enrollment of these individuals can begin.</w:t>
      </w:r>
    </w:p>
    <w:sectPr w:rsidR="00A03B82" w:rsidRPr="00A03B82" w:rsidSect="00A03B82">
      <w:pgSz w:w="12240" w:h="15840"/>
      <w:pgMar w:top="954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50DB"/>
    <w:multiLevelType w:val="multilevel"/>
    <w:tmpl w:val="69EC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720E4"/>
    <w:multiLevelType w:val="hybridMultilevel"/>
    <w:tmpl w:val="13B69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F7C7C"/>
    <w:multiLevelType w:val="hybridMultilevel"/>
    <w:tmpl w:val="D0063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F1C04"/>
    <w:multiLevelType w:val="multilevel"/>
    <w:tmpl w:val="E2B6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1727D6"/>
    <w:multiLevelType w:val="multilevel"/>
    <w:tmpl w:val="0B72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4D5BB6"/>
    <w:multiLevelType w:val="multilevel"/>
    <w:tmpl w:val="542E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6C0697"/>
    <w:multiLevelType w:val="multilevel"/>
    <w:tmpl w:val="F488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1B6A32"/>
    <w:multiLevelType w:val="multilevel"/>
    <w:tmpl w:val="7EC83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67042D"/>
    <w:multiLevelType w:val="multilevel"/>
    <w:tmpl w:val="DD30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931688"/>
    <w:multiLevelType w:val="multilevel"/>
    <w:tmpl w:val="15A8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05478B"/>
    <w:multiLevelType w:val="hybridMultilevel"/>
    <w:tmpl w:val="BF441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917C7"/>
    <w:multiLevelType w:val="multilevel"/>
    <w:tmpl w:val="C9427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8D3EBB"/>
    <w:multiLevelType w:val="multilevel"/>
    <w:tmpl w:val="BB94B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225643"/>
    <w:multiLevelType w:val="multilevel"/>
    <w:tmpl w:val="1A28F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944C05"/>
    <w:multiLevelType w:val="multilevel"/>
    <w:tmpl w:val="51DE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F536B7"/>
    <w:multiLevelType w:val="multilevel"/>
    <w:tmpl w:val="75CC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6160CF"/>
    <w:multiLevelType w:val="hybridMultilevel"/>
    <w:tmpl w:val="06429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6"/>
  </w:num>
  <w:num w:numId="5">
    <w:abstractNumId w:val="7"/>
  </w:num>
  <w:num w:numId="6">
    <w:abstractNumId w:val="0"/>
  </w:num>
  <w:num w:numId="7">
    <w:abstractNumId w:val="12"/>
  </w:num>
  <w:num w:numId="8">
    <w:abstractNumId w:val="11"/>
  </w:num>
  <w:num w:numId="9">
    <w:abstractNumId w:val="9"/>
  </w:num>
  <w:num w:numId="10">
    <w:abstractNumId w:val="4"/>
  </w:num>
  <w:num w:numId="11">
    <w:abstractNumId w:val="3"/>
  </w:num>
  <w:num w:numId="12">
    <w:abstractNumId w:val="8"/>
  </w:num>
  <w:num w:numId="13">
    <w:abstractNumId w:val="5"/>
  </w:num>
  <w:num w:numId="14">
    <w:abstractNumId w:val="16"/>
  </w:num>
  <w:num w:numId="15">
    <w:abstractNumId w:val="1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7C"/>
    <w:rsid w:val="003D2D0A"/>
    <w:rsid w:val="004242F2"/>
    <w:rsid w:val="00515C75"/>
    <w:rsid w:val="005B1AAE"/>
    <w:rsid w:val="00737D45"/>
    <w:rsid w:val="007E0F1F"/>
    <w:rsid w:val="008563F5"/>
    <w:rsid w:val="00913961"/>
    <w:rsid w:val="00A03B82"/>
    <w:rsid w:val="00A06E7C"/>
    <w:rsid w:val="00CC3B01"/>
    <w:rsid w:val="00D0267F"/>
    <w:rsid w:val="00D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A96B4D"/>
  <w15:chartTrackingRefBased/>
  <w15:docId w15:val="{2C9B786F-5404-5142-A2D9-9D190E18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6E7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B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06E7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06E7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link w:val="Heading5Char"/>
    <w:uiPriority w:val="9"/>
    <w:qFormat/>
    <w:rsid w:val="00A06E7C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6E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6E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06E7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06E7C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A06E7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06E7C"/>
    <w:rPr>
      <w:b/>
      <w:bCs/>
    </w:rPr>
  </w:style>
  <w:style w:type="paragraph" w:styleId="NormalWeb">
    <w:name w:val="Normal (Web)"/>
    <w:basedOn w:val="Normal"/>
    <w:uiPriority w:val="99"/>
    <w:unhideWhenUsed/>
    <w:rsid w:val="00A06E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06E7C"/>
    <w:rPr>
      <w:i/>
      <w:iCs/>
    </w:rPr>
  </w:style>
  <w:style w:type="character" w:styleId="Hyperlink">
    <w:name w:val="Hyperlink"/>
    <w:basedOn w:val="DefaultParagraphFont"/>
    <w:uiPriority w:val="99"/>
    <w:unhideWhenUsed/>
    <w:rsid w:val="00A06E7C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6E7C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A06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E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E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E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E7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E7C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242F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2D0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03B82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A03B82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C3B01"/>
  </w:style>
  <w:style w:type="character" w:customStyle="1" w:styleId="Heading2Char">
    <w:name w:val="Heading 2 Char"/>
    <w:basedOn w:val="DefaultParagraphFont"/>
    <w:link w:val="Heading2"/>
    <w:uiPriority w:val="9"/>
    <w:rsid w:val="00CC3B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3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2019-02-28T15:19:00Z</dcterms:created>
  <dcterms:modified xsi:type="dcterms:W3CDTF">2019-03-27T13:35:00Z</dcterms:modified>
</cp:coreProperties>
</file>